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w:t>
      </w:r>
      <w:proofErr w:type="gramStart"/>
      <w:r w:rsidRPr="001D1585">
        <w:rPr>
          <w:rFonts w:eastAsia="Times New Roman" w:cs="Arial"/>
          <w:color w:val="595959"/>
          <w:spacing w:val="0"/>
          <w:sz w:val="20"/>
          <w:szCs w:val="40"/>
        </w:rPr>
        <w:t>1</w:t>
      </w:r>
      <w:proofErr w:type="gramEnd"/>
      <w:r w:rsidRPr="001D1585">
        <w:rPr>
          <w:rFonts w:eastAsia="Times New Roman" w:cs="Arial"/>
          <w:color w:val="595959"/>
          <w:spacing w:val="0"/>
          <w:sz w:val="20"/>
          <w:szCs w:val="40"/>
        </w:rPr>
        <w:t xml:space="preserve">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 xml:space="preserve">Teachers will be expected to deliver a daily session of 10 to 15 minutes in addition to their daily maths lesson, which may be a little shorter as a result. Resources, including lesson plans, visual </w:t>
      </w:r>
      <w:proofErr w:type="gramStart"/>
      <w:r>
        <w:t>resources</w:t>
      </w:r>
      <w:proofErr w:type="gramEnd"/>
      <w:r>
        <w:t xml:space="preserve"> and practical equipment, will be provided.</w:t>
      </w:r>
    </w:p>
    <w:p w14:paraId="64EAB886" w14:textId="339829AE" w:rsidR="005A191A" w:rsidRDefault="009A32CD" w:rsidP="009A32CD">
      <w:r>
        <w:t xml:space="preserve">Central to the programme will be a small, abacus-like piece of equipment called a rekenrek,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 xml:space="preserve">igh quality support for teacher professional development for the lead teachers, directed by the NCETM and facilitated by the local Maths </w:t>
      </w:r>
      <w:proofErr w:type="gramStart"/>
      <w:r w:rsidR="00F01845" w:rsidRPr="00F01845">
        <w:rPr>
          <w:rFonts w:ascii="Arial" w:hAnsi="Arial" w:cs="Arial"/>
          <w:color w:val="595959" w:themeColor="text1" w:themeTint="A6"/>
          <w:sz w:val="20"/>
          <w:szCs w:val="20"/>
          <w:lang w:val="en-US"/>
        </w:rPr>
        <w:t>Hub</w:t>
      </w:r>
      <w:proofErr w:type="gramEnd"/>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 xml:space="preserve">esources provided, including coherent plans for the Mastering Number daily sessions in Reception, Year </w:t>
      </w:r>
      <w:proofErr w:type="gramStart"/>
      <w:r w:rsidR="00F01845" w:rsidRPr="00F01845">
        <w:rPr>
          <w:rFonts w:ascii="Arial" w:hAnsi="Arial" w:cs="Arial"/>
          <w:color w:val="595959" w:themeColor="text1" w:themeTint="A6"/>
          <w:sz w:val="20"/>
          <w:szCs w:val="20"/>
          <w:lang w:val="en-US"/>
        </w:rPr>
        <w:t>1</w:t>
      </w:r>
      <w:proofErr w:type="gramEnd"/>
      <w:r w:rsidR="00F01845" w:rsidRPr="00F01845">
        <w:rPr>
          <w:rFonts w:ascii="Arial" w:hAnsi="Arial" w:cs="Arial"/>
          <w:color w:val="595959" w:themeColor="text1" w:themeTint="A6"/>
          <w:sz w:val="20"/>
          <w:szCs w:val="20"/>
          <w:lang w:val="en-US"/>
        </w:rPr>
        <w:t xml:space="preserve">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the abacus-like rekenrek</w:t>
      </w:r>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1638CB37" w:rsidR="00E35125" w:rsidRDefault="00A409A9" w:rsidP="008D395B">
      <w:pPr>
        <w:pStyle w:val="Subtitle"/>
        <w:rPr>
          <w:rFonts w:eastAsia="Times New Roman" w:cs="Arial"/>
          <w:color w:val="595959"/>
          <w:spacing w:val="0"/>
          <w:sz w:val="20"/>
          <w:szCs w:val="40"/>
        </w:rPr>
      </w:pPr>
      <w:r w:rsidRPr="00A409A9">
        <w:rPr>
          <w:rFonts w:eastAsia="Times New Roman" w:cs="Arial"/>
          <w:color w:val="595959"/>
          <w:spacing w:val="0"/>
          <w:sz w:val="20"/>
          <w:szCs w:val="40"/>
        </w:rPr>
        <w:t>N.B Schools in Mastery Readiness, Development and Embedding Work Groups for 2021</w:t>
      </w:r>
      <w:r>
        <w:rPr>
          <w:rFonts w:eastAsia="Times New Roman" w:cs="Arial"/>
          <w:color w:val="595959"/>
          <w:spacing w:val="0"/>
          <w:sz w:val="20"/>
          <w:szCs w:val="40"/>
        </w:rPr>
        <w:t>/</w:t>
      </w:r>
      <w:r w:rsidRPr="00A409A9">
        <w:rPr>
          <w:rFonts w:eastAsia="Times New Roman" w:cs="Arial"/>
          <w:color w:val="595959"/>
          <w:spacing w:val="0"/>
          <w:sz w:val="20"/>
          <w:szCs w:val="40"/>
        </w:rPr>
        <w:t xml:space="preserve">22 should prioritise </w:t>
      </w:r>
      <w:r w:rsidR="00F53385">
        <w:rPr>
          <w:rFonts w:eastAsia="Times New Roman" w:cs="Arial"/>
          <w:color w:val="595959"/>
          <w:spacing w:val="0"/>
          <w:sz w:val="20"/>
          <w:szCs w:val="40"/>
        </w:rPr>
        <w:t>their existing</w:t>
      </w:r>
      <w:r w:rsidR="00F53385" w:rsidRPr="00A409A9">
        <w:rPr>
          <w:rFonts w:eastAsia="Times New Roman" w:cs="Arial"/>
          <w:color w:val="595959"/>
          <w:spacing w:val="0"/>
          <w:sz w:val="20"/>
          <w:szCs w:val="40"/>
        </w:rPr>
        <w:t xml:space="preserve"> </w:t>
      </w:r>
      <w:r>
        <w:rPr>
          <w:rFonts w:eastAsia="Times New Roman" w:cs="Arial"/>
          <w:color w:val="595959"/>
          <w:spacing w:val="0"/>
          <w:sz w:val="20"/>
          <w:szCs w:val="40"/>
        </w:rPr>
        <w:t>t</w:t>
      </w:r>
      <w:r w:rsidRPr="00A409A9">
        <w:rPr>
          <w:rFonts w:eastAsia="Times New Roman" w:cs="Arial"/>
          <w:color w:val="595959"/>
          <w:spacing w:val="0"/>
          <w:sz w:val="20"/>
          <w:szCs w:val="40"/>
        </w:rPr>
        <w:t xml:space="preserve">eaching for </w:t>
      </w:r>
      <w:r>
        <w:rPr>
          <w:rFonts w:eastAsia="Times New Roman" w:cs="Arial"/>
          <w:color w:val="595959"/>
          <w:spacing w:val="0"/>
          <w:sz w:val="20"/>
          <w:szCs w:val="40"/>
        </w:rPr>
        <w:t>m</w:t>
      </w:r>
      <w:r w:rsidRPr="00A409A9">
        <w:rPr>
          <w:rFonts w:eastAsia="Times New Roman" w:cs="Arial"/>
          <w:color w:val="595959"/>
          <w:spacing w:val="0"/>
          <w:sz w:val="20"/>
          <w:szCs w:val="40"/>
        </w:rPr>
        <w:t>astery commitments and therefore should not apply.</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 xml:space="preserve">he school will introduce Mastering Number in all Reception, Year </w:t>
      </w:r>
      <w:proofErr w:type="gramStart"/>
      <w:r w:rsidRPr="00716F42">
        <w:rPr>
          <w:rFonts w:eastAsia="Times New Roman" w:cs="Arial"/>
          <w:color w:val="595959"/>
          <w:spacing w:val="0"/>
          <w:sz w:val="20"/>
          <w:szCs w:val="40"/>
        </w:rPr>
        <w:t>1</w:t>
      </w:r>
      <w:proofErr w:type="gramEnd"/>
      <w:r w:rsidRPr="00716F42">
        <w:rPr>
          <w:rFonts w:eastAsia="Times New Roman" w:cs="Arial"/>
          <w:color w:val="595959"/>
          <w:spacing w:val="0"/>
          <w:sz w:val="20"/>
          <w:szCs w:val="40"/>
        </w:rPr>
        <w:t xml:space="preserve">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w:t>
      </w:r>
      <w:proofErr w:type="gramStart"/>
      <w:r w:rsidRPr="00B06052">
        <w:rPr>
          <w:rFonts w:eastAsia="Times New Roman" w:cs="Arial"/>
          <w:color w:val="595959"/>
          <w:spacing w:val="0"/>
          <w:sz w:val="20"/>
          <w:szCs w:val="40"/>
        </w:rPr>
        <w:t>in order for</w:t>
      </w:r>
      <w:proofErr w:type="gramEnd"/>
      <w:r w:rsidRPr="00B06052">
        <w:rPr>
          <w:rFonts w:eastAsia="Times New Roman" w:cs="Arial"/>
          <w:color w:val="595959"/>
          <w:spacing w:val="0"/>
          <w:sz w:val="20"/>
          <w:szCs w:val="40"/>
        </w:rPr>
        <w:t xml:space="preserve"> them to teach daily sessions of the Mastering Number Programme. </w:t>
      </w:r>
    </w:p>
    <w:p w14:paraId="60A6223E" w14:textId="5C14BE74" w:rsidR="004E7134" w:rsidRDefault="004E7134" w:rsidP="004E7134">
      <w:pPr>
        <w:pStyle w:val="Subtitle"/>
      </w:pPr>
      <w:r>
        <w:t>How to apply</w:t>
      </w:r>
    </w:p>
    <w:p w14:paraId="42F08710" w14:textId="443C38F7" w:rsidR="0092708A"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 xml:space="preserve">it, by email, </w:t>
      </w:r>
      <w:r w:rsidRPr="000D56DE">
        <w:rPr>
          <w:b/>
          <w:bCs w:val="0"/>
        </w:rPr>
        <w:t>to their Maths Hub</w:t>
      </w:r>
      <w:r>
        <w:t>. Early applications are encouraged.</w:t>
      </w:r>
      <w:r w:rsidR="00AB084B">
        <w:t xml:space="preserve"> Details of the 40 Maths Hubs are given in the appendix</w:t>
      </w:r>
      <w:r w:rsidR="00311F26">
        <w:t xml:space="preserve"> below</w:t>
      </w:r>
      <w:r w:rsidR="00AB084B">
        <w:t>.</w:t>
      </w:r>
      <w:r w:rsidR="00311F26">
        <w:t xml:space="preserve"> You can find your local Maths Hub </w:t>
      </w:r>
      <w:hyperlink r:id="rId11" w:history="1">
        <w:r w:rsidR="00311F26" w:rsidRPr="00311F26">
          <w:rPr>
            <w:rStyle w:val="Hyperlink"/>
          </w:rPr>
          <w:t>using the search tool on the NCETM website</w:t>
        </w:r>
      </w:hyperlink>
      <w:r w:rsidR="00311F26">
        <w:t>.</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1F99AAC2"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w:t>
      </w:r>
      <w:r w:rsidR="00570ABC">
        <w:rPr>
          <w:rFonts w:eastAsia="Calibri"/>
          <w:bCs w:val="0"/>
          <w:i/>
          <w:iCs/>
          <w:color w:val="808080" w:themeColor="background1" w:themeShade="80"/>
          <w:szCs w:val="20"/>
          <w:lang w:eastAsia="en-US"/>
        </w:rPr>
        <w:t xml:space="preserve">GLOW Maths Hub – </w:t>
      </w:r>
      <w:hyperlink r:id="rId12" w:history="1">
        <w:r w:rsidR="00570ABC" w:rsidRPr="00924CCC">
          <w:rPr>
            <w:rStyle w:val="Hyperlink"/>
            <w:rFonts w:eastAsia="Calibri"/>
            <w:bCs w:val="0"/>
            <w:i/>
            <w:iCs/>
            <w:szCs w:val="20"/>
            <w:lang w:eastAsia="en-US"/>
          </w:rPr>
          <w:t>glowmathshub@balcarras.gloucs.sch.uk</w:t>
        </w:r>
      </w:hyperlink>
      <w:r w:rsidR="00570ABC">
        <w:rPr>
          <w:rFonts w:eastAsia="Calibri"/>
          <w:bCs w:val="0"/>
          <w:i/>
          <w:iCs/>
          <w:color w:val="808080" w:themeColor="background1" w:themeShade="80"/>
          <w:szCs w:val="20"/>
          <w:lang w:eastAsia="en-US"/>
        </w:rPr>
        <w:t xml:space="preserve"> – asap places are limited</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 xml:space="preserve">Which </w:t>
            </w:r>
            <w:proofErr w:type="spellStart"/>
            <w:r>
              <w:rPr>
                <w:rFonts w:cs="Arial"/>
                <w:color w:val="808080" w:themeColor="background1" w:themeShade="80"/>
                <w:szCs w:val="20"/>
              </w:rPr>
              <w:t>Maths</w:t>
            </w:r>
            <w:proofErr w:type="spellEnd"/>
            <w:r>
              <w:rPr>
                <w:rFonts w:cs="Arial"/>
                <w:color w:val="808080" w:themeColor="background1" w:themeShade="80"/>
                <w:szCs w:val="20"/>
              </w:rPr>
              <w:t xml:space="preserve">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3"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4"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5"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 xml:space="preserve">The school will introduce Mastering Number in all Reception, Year </w:t>
      </w:r>
      <w:proofErr w:type="gramStart"/>
      <w:r w:rsidRPr="00DA613A">
        <w:rPr>
          <w:rFonts w:eastAsia="Calibri"/>
          <w:color w:val="808080" w:themeColor="background1" w:themeShade="80"/>
          <w:szCs w:val="20"/>
          <w:lang w:val="en-US" w:eastAsia="en-US"/>
        </w:rPr>
        <w:t>1</w:t>
      </w:r>
      <w:proofErr w:type="gramEnd"/>
      <w:r w:rsidRPr="00DA613A">
        <w:rPr>
          <w:rFonts w:eastAsia="Calibri"/>
          <w:color w:val="808080" w:themeColor="background1" w:themeShade="80"/>
          <w:szCs w:val="20"/>
          <w:lang w:val="en-US" w:eastAsia="en-US"/>
        </w:rPr>
        <w:t xml:space="preserve">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0"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0"/>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C4017F0" w14:textId="77777777" w:rsidR="00570ABC" w:rsidRDefault="00570ABC">
      <w:pPr>
        <w:spacing w:before="0" w:line="240" w:lineRule="auto"/>
        <w:rPr>
          <w:rFonts w:eastAsiaTheme="minorEastAsia" w:cstheme="minorBidi"/>
          <w:color w:val="5A5A5A" w:themeColor="text1" w:themeTint="A5"/>
          <w:spacing w:val="15"/>
          <w:sz w:val="28"/>
          <w:szCs w:val="22"/>
        </w:rPr>
      </w:pPr>
      <w:r>
        <w:lastRenderedPageBreak/>
        <w:br w:type="page"/>
      </w:r>
    </w:p>
    <w:sectPr w:rsidR="00570ABC" w:rsidSect="00570ABC">
      <w:pgSz w:w="11906" w:h="16838"/>
      <w:pgMar w:top="1702" w:right="1133" w:bottom="1135"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38C2" w14:textId="77777777" w:rsidR="00D61FC5" w:rsidRDefault="00D61FC5">
      <w:r>
        <w:separator/>
      </w:r>
    </w:p>
  </w:endnote>
  <w:endnote w:type="continuationSeparator" w:id="0">
    <w:p w14:paraId="328269E0" w14:textId="77777777" w:rsidR="00D61FC5" w:rsidRDefault="00D61FC5">
      <w:r>
        <w:continuationSeparator/>
      </w:r>
    </w:p>
  </w:endnote>
  <w:endnote w:type="continuationNotice" w:id="1">
    <w:p w14:paraId="23A0F7F8" w14:textId="77777777" w:rsidR="00D61FC5" w:rsidRDefault="00D61FC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1F51" w14:textId="77777777" w:rsidR="00D61FC5" w:rsidRDefault="00D61FC5">
      <w:r>
        <w:separator/>
      </w:r>
    </w:p>
  </w:footnote>
  <w:footnote w:type="continuationSeparator" w:id="0">
    <w:p w14:paraId="2AD234C2" w14:textId="77777777" w:rsidR="00D61FC5" w:rsidRDefault="00D61FC5">
      <w:r>
        <w:continuationSeparator/>
      </w:r>
    </w:p>
  </w:footnote>
  <w:footnote w:type="continuationNotice" w:id="1">
    <w:p w14:paraId="4A71EBA3" w14:textId="77777777" w:rsidR="00D61FC5" w:rsidRDefault="00D61FC5">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0ABC"/>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93AD9"/>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09CFB"/>
  <w15:docId w15:val="{6583FE19-67A8-4705-87E7-DC55B45E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 w:type="character" w:styleId="UnresolvedMention">
    <w:name w:val="Unresolved Mention"/>
    <w:basedOn w:val="DefaultParagraphFont"/>
    <w:uiPriority w:val="99"/>
    <w:semiHidden/>
    <w:unhideWhenUsed/>
    <w:rsid w:val="00570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request-a-reminder-for-a-teacher-reference-number-tr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lowmathshub@balcarras.glou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etm.org.uk/maths-hubs/find-your-hub/" TargetMode="External"/><Relationship Id="rId5" Type="http://schemas.openxmlformats.org/officeDocument/2006/relationships/styles" Target="styles.xml"/><Relationship Id="rId15" Type="http://schemas.openxmlformats.org/officeDocument/2006/relationships/hyperlink" Target="https://www.gov.uk/guidance/request-a-reminder-for-a-teacher-reference-number-trn" TargetMode="Externa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BF13-BCA8-4534-8380-8ABE12FEF127}">
  <ds:schemaRefs>
    <ds:schemaRef ds:uri="http://schemas.microsoft.com/office/2006/documentManagement/types"/>
    <ds:schemaRef ds:uri="http://schemas.openxmlformats.org/package/2006/metadata/core-properties"/>
    <ds:schemaRef ds:uri="http://purl.org/dc/elements/1.1/"/>
    <ds:schemaRef ds:uri="http://www.w3.org/XML/1998/namespace"/>
    <ds:schemaRef ds:uri="77b60af6-898c-4fca-8cf8-aff0945d902d"/>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creator>Ben Adey</dc:creator>
  <cp:lastModifiedBy>Jo Newman</cp:lastModifiedBy>
  <cp:revision>2</cp:revision>
  <cp:lastPrinted>2006-10-20T09:58:00Z</cp:lastPrinted>
  <dcterms:created xsi:type="dcterms:W3CDTF">2021-05-25T10:10:00Z</dcterms:created>
  <dcterms:modified xsi:type="dcterms:W3CDTF">2021-05-25T10:10:00Z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